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bookmarkStart w:id="1" w:name="_GoBack"/>
      <w:bookmarkEnd w:id="1"/>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2" w:name="_Toc422997552"/>
      <w:r w:rsidRPr="000A05E4">
        <w:rPr>
          <w:b w:val="0"/>
        </w:rPr>
        <w:t>ABSTRACT</w:t>
      </w:r>
      <w:bookmarkEnd w:id="2"/>
    </w:p>
    <w:p w14:paraId="13592EA6" w14:textId="2497DA22"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3" w:name="_Toc422997553"/>
      <w:r>
        <w:lastRenderedPageBreak/>
        <w:t>TABLE OF CONTENT</w:t>
      </w:r>
      <w:r w:rsidR="00BD7A28">
        <w:t>S</w:t>
      </w:r>
      <w:bookmarkEnd w:id="3"/>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C720E0">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C720E0">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C720E0">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C720E0">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C720E0">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C720E0">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C720E0">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C720E0">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C720E0">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C720E0">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C720E0">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C720E0">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C720E0">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C720E0">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C720E0">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C720E0">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C720E0">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C720E0">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C720E0">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C720E0">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C720E0">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C720E0">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C720E0">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C720E0">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C720E0">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C720E0">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C720E0">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C720E0">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C720E0">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C720E0">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C720E0">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C720E0">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C720E0">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C720E0">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C720E0">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C720E0">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C720E0">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C720E0">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C720E0">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C720E0">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C720E0">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C720E0">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C720E0">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7777777" w:rsidR="00E35DF8" w:rsidRDefault="00C720E0">
          <w:pPr>
            <w:pStyle w:val="TOC1"/>
            <w:tabs>
              <w:tab w:val="right" w:leader="dot" w:pos="8630"/>
            </w:tabs>
            <w:rPr>
              <w:rFonts w:asciiTheme="minorHAnsi" w:hAnsiTheme="minorHAnsi"/>
              <w:noProof/>
              <w:sz w:val="22"/>
              <w:szCs w:val="22"/>
            </w:rPr>
          </w:pPr>
          <w:hyperlink w:anchor="_Toc422997595" w:history="1">
            <w:r w:rsidR="00E35DF8" w:rsidRPr="00802476">
              <w:rPr>
                <w:rStyle w:val="Hyperlink"/>
                <w:noProof/>
              </w:rPr>
              <w:t>IN VIVO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C720E0">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C720E0">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C720E0">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C720E0">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C720E0">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C720E0">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C720E0">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77777777" w:rsidR="00E35DF8" w:rsidRDefault="00C720E0">
          <w:pPr>
            <w:pStyle w:val="TOC1"/>
            <w:tabs>
              <w:tab w:val="right" w:leader="dot" w:pos="8630"/>
            </w:tabs>
            <w:rPr>
              <w:rFonts w:asciiTheme="minorHAnsi" w:hAnsiTheme="minorHAnsi"/>
              <w:noProof/>
              <w:sz w:val="22"/>
              <w:szCs w:val="22"/>
            </w:rPr>
          </w:pPr>
          <w:hyperlink w:anchor="_Toc422997603" w:history="1">
            <w:r w:rsidR="00E35DF8" w:rsidRPr="00802476">
              <w:rPr>
                <w:rStyle w:val="Hyperlink"/>
                <w:noProof/>
              </w:rPr>
              <w:t>IN VITRO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C720E0">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C720E0">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C720E0">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C720E0">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C720E0">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C720E0">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C720E0">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C720E0">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C720E0">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C720E0">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C720E0">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C720E0">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4" w:name="_Toc422997554"/>
      <w:r>
        <w:lastRenderedPageBreak/>
        <w:t>LIST OF TABLES</w:t>
      </w:r>
      <w:bookmarkEnd w:id="4"/>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5" w:name="_Toc422997555"/>
      <w:r>
        <w:lastRenderedPageBreak/>
        <w:t>LIST OF FIGURES</w:t>
      </w:r>
      <w:bookmarkEnd w:id="5"/>
    </w:p>
    <w:p w14:paraId="2B5B3816" w14:textId="77777777"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Figure 1. Experimental protocol for the in vivo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6" w:name="_Toc422997556"/>
      <w:r>
        <w:t>LIST OF ABBREVIATIONS</w:t>
      </w:r>
      <w:bookmarkEnd w:id="6"/>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lastRenderedPageBreak/>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7" w:name="_Toc422997557"/>
      <w:r>
        <w:lastRenderedPageBreak/>
        <w:t>CLINICAL QUESTIONS AND EVIDENCE</w:t>
      </w:r>
      <w:bookmarkEnd w:id="7"/>
    </w:p>
    <w:p w14:paraId="34BB3048" w14:textId="77777777" w:rsidR="00475EB3" w:rsidRPr="00475EB3" w:rsidRDefault="000C7509" w:rsidP="00475EB3">
      <w:pPr>
        <w:pStyle w:val="Heading2"/>
        <w:rPr>
          <w:sz w:val="24"/>
          <w:szCs w:val="24"/>
        </w:rPr>
      </w:pPr>
      <w:bookmarkStart w:id="8" w:name="_Toc422997558"/>
      <w:r w:rsidRPr="00475EB3">
        <w:rPr>
          <w:sz w:val="24"/>
          <w:szCs w:val="24"/>
        </w:rPr>
        <w:t>Cushing’s syndrome and hints of an atrophy mechanism</w:t>
      </w:r>
      <w:bookmarkEnd w:id="8"/>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0982F0AE" w:rsidR="002F069E" w:rsidRDefault="002F069E" w:rsidP="002F069E">
      <w:pPr>
        <w:pStyle w:val="BUMainText"/>
        <w:ind w:firstLine="720"/>
      </w:pPr>
      <w:r>
        <w:lastRenderedPageBreak/>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w:t>
      </w:r>
      <w:r>
        <w:lastRenderedPageBreak/>
        <w:t>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9" w:name="_Toc422997559"/>
      <w:r w:rsidRPr="0005175B">
        <w:rPr>
          <w:sz w:val="24"/>
        </w:rPr>
        <w:t>Glucocorticoid therapy</w:t>
      </w:r>
      <w:bookmarkEnd w:id="9"/>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extracts combined antagonistic hormones in variable doses, seemingly lacking defined </w:t>
      </w:r>
      <w:r>
        <w:lastRenderedPageBreak/>
        <w:t>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03BA1E75"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16]. The classical effect of the GRE-GR interaction is increased transcription for neighboring target genes (transactivation), as it is the case in polymorphonucleate cells for interleukin 1 (IL-1) receptor type II (IL-1RII)</w:t>
      </w:r>
      <w:r w:rsidR="00B164AD">
        <w:t xml:space="preserve"> </w:t>
      </w:r>
      <w:r w:rsidR="00B164AD">
        <w:lastRenderedPageBreak/>
        <w:t>[</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264EED5A" w:rsidR="002F069E" w:rsidRDefault="002F069E" w:rsidP="002F069E">
      <w:pPr>
        <w:pStyle w:val="BUMainText"/>
        <w:ind w:firstLine="720"/>
      </w:pPr>
      <w:r>
        <w:t>In 1950, endogenous GCs corticosterone and cortisol, were synthesized at Merck</w:t>
      </w:r>
      <w:r w:rsidR="00B164AD">
        <w:t xml:space="preserve"> [</w:t>
      </w:r>
      <w:r>
        <w:t xml:space="preserve">22], thus lowering the price and creating the opportunity for large-scale trials. The Empire Rheumatism Council organized a randomized trial comparing cortisone with </w:t>
      </w:r>
      <w:r>
        <w:lastRenderedPageBreak/>
        <w:t>acetylsalicylate, and concluded that there is no benefit in cortisone</w:t>
      </w:r>
      <w:r w:rsidR="00B164AD">
        <w:t xml:space="preserve"> [</w:t>
      </w:r>
      <w:r>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170 times higher ability to inhibit the immune reaction to subcutaneous foreign bodies </w:t>
      </w:r>
      <w:r>
        <w:lastRenderedPageBreak/>
        <w:t>(granuloma)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t xml:space="preserve">Chronic GC therapy causes glucose metabolism disturbance, osteoporosis, and muscle loss, suggesting that their therapeutic use is limited. However, their efficacy </w:t>
      </w:r>
      <w:r>
        <w:lastRenderedPageBreak/>
        <w:t>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w:t>
      </w:r>
      <w:r w:rsidR="00B164AD">
        <w:t xml:space="preserve"> [</w:t>
      </w:r>
      <w:r>
        <w:t>52, 53, 54]. Nevertheless, off-</w:t>
      </w:r>
      <w:r>
        <w:lastRenderedPageBreak/>
        <w:t>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58, 59]. GCs are likely even more prescribed in the developing world, due to affordability and lack of alternatives, poor access to health care notwithstanding. Dexa and cortisol are the only drugs listed five times in the World Health Organization’s List of Essential Medicines</w:t>
      </w:r>
      <w:r w:rsidR="00B164AD">
        <w:t xml:space="preserve"> [</w:t>
      </w:r>
      <w:r>
        <w:t xml:space="preserve">60]. Due to their widespread use, GCs are likely to cause covert iatrogenic CS in a large </w:t>
      </w:r>
      <w:r>
        <w:lastRenderedPageBreak/>
        <w:t>population, impairing muscle mass and quality of life to a certain and understudied degree</w:t>
      </w:r>
      <w:r w:rsidR="000C7509">
        <w:t>.</w:t>
      </w:r>
    </w:p>
    <w:p w14:paraId="742547BB" w14:textId="77777777" w:rsidR="004A2827" w:rsidRDefault="000C7509" w:rsidP="004A2827">
      <w:pPr>
        <w:pStyle w:val="Heading2"/>
      </w:pPr>
      <w:bookmarkStart w:id="10" w:name="_Toc422997560"/>
      <w:r>
        <w:t>Hypercortisolism-induced muscle loss</w:t>
      </w:r>
      <w:bookmarkEnd w:id="10"/>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w:t>
      </w:r>
      <w:r>
        <w:lastRenderedPageBreak/>
        <w:t>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t>Due to its insidious and erratic symptomatology, iatrogenic CS is often diagnosed years after onset or completely unrecognized</w:t>
      </w:r>
      <w:r w:rsidR="00B164AD">
        <w:t xml:space="preserve"> [</w:t>
      </w:r>
      <w:r>
        <w:t xml:space="preserve">62]. The incidence of iatrogenic CS is </w:t>
      </w:r>
      <w:r>
        <w:lastRenderedPageBreak/>
        <w:t>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t>In their 1958 case series, Muller and Kugelberg were the first to describe muscle changes associated with long-term Cushing’s disease</w:t>
      </w:r>
      <w:r w:rsidR="00B164AD">
        <w:t xml:space="preserve"> [</w:t>
      </w:r>
      <w:r>
        <w:t xml:space="preserve">81]. In their mixed, primary and secondary, endogenous hypercortisolic cohort, they found that complaints of muscle </w:t>
      </w:r>
      <w:r>
        <w:lastRenderedPageBreak/>
        <w:t>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 xml:space="preserve">79, 86]. When GAML develops, the amplitude </w:t>
      </w:r>
      <w:r>
        <w:lastRenderedPageBreak/>
        <w:t>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lastRenderedPageBreak/>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95]. Reports of type-specific effects of GC are inconclusive. In one study, women with CS had an 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 xml:space="preserve">97]. Others found </w:t>
      </w:r>
      <w:r>
        <w:lastRenderedPageBreak/>
        <w:t>that all types of fibers are uniformly affected by GC</w:t>
      </w:r>
      <w:r w:rsidR="00B164AD">
        <w:t xml:space="preserve"> [</w:t>
      </w:r>
      <w:r>
        <w:t>98]. This hypothesis was further followed in animal studies.</w:t>
      </w:r>
    </w:p>
    <w:p w14:paraId="380FFC49" w14:textId="4ABCB6F8"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 xml:space="preserve">102]. The ample increase in urinary creatine and creatinine is evidence for upregulated tissue protein breakdown. As little as 20 µg/kg cortisol infused over 8 hours </w:t>
      </w:r>
      <w:r>
        <w:lastRenderedPageBreak/>
        <w:t>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lastRenderedPageBreak/>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 xml:space="preserve">The inhibition of the other proteolytic system, the autophagosome, is also the focus of clinical studies. Starting with the inexpensive antimalarials chloroquine and hydroxychloroquine, autophagosome inhibitors are now the focus of phase II clinical </w:t>
      </w:r>
      <w:r>
        <w:lastRenderedPageBreak/>
        <w:t>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a biphasic response. Löfberg and colleagues</w:t>
      </w:r>
      <w:r w:rsidR="00B164AD">
        <w:t xml:space="preserve"> [</w:t>
      </w:r>
      <w:r>
        <w:t xml:space="preserve">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t>
      </w:r>
      <w:r>
        <w:lastRenderedPageBreak/>
        <w:t>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lastRenderedPageBreak/>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1" w:name="_Toc422997561"/>
      <w:r w:rsidRPr="000443DC">
        <w:rPr>
          <w:sz w:val="24"/>
        </w:rPr>
        <w:t>Muscle protection with androgen therapy</w:t>
      </w:r>
      <w:bookmarkEnd w:id="11"/>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lastRenderedPageBreak/>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 xml:space="preserve">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w:t>
      </w:r>
      <w:r>
        <w:lastRenderedPageBreak/>
        <w:t>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Finally, Brown-Séquard’s era tolerated unscientific theories, which ignored the physical and intellectual ability of women. Brown-Séquard claimed that ovary extracts 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 xml:space="preserve">129]. With </w:t>
      </w:r>
      <w:r>
        <w:lastRenderedPageBreak/>
        <w:t>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 xml:space="preserve">135] after less than two weeks, thus establishing the efficacy of </w:t>
      </w:r>
      <w:r>
        <w:lastRenderedPageBreak/>
        <w:t>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28353969" w:rsidR="00DD7DE1" w:rsidRDefault="00DD7DE1" w:rsidP="00DD7DE1">
      <w:pPr>
        <w:pStyle w:val="BUMainText"/>
        <w:ind w:firstLine="720"/>
      </w:pPr>
      <w:r>
        <w:t>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w:t>
      </w:r>
      <w:r>
        <w:lastRenderedPageBreak/>
        <w:t>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 xml:space="preserve">151]. Similarly, in 1950, the Mayo </w:t>
      </w:r>
      <w:r>
        <w:lastRenderedPageBreak/>
        <w:t>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2"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3" w:name="_Toc238869198"/>
      <w:bookmarkStart w:id="14" w:name="_Toc238880543"/>
      <w:bookmarkStart w:id="15" w:name="_Toc422997549"/>
      <w:bookmarkEnd w:id="12"/>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3"/>
      <w:bookmarkEnd w:id="14"/>
      <w:bookmarkEnd w:id="15"/>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6" w:name="_Toc422997562"/>
      <w:r w:rsidRPr="00FE328A">
        <w:rPr>
          <w:sz w:val="24"/>
        </w:rPr>
        <w:lastRenderedPageBreak/>
        <w:t>Hypercortisolism-induced changes in endogenous androgens levels</w:t>
      </w:r>
      <w:bookmarkEnd w:id="16"/>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6D588DBF"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t>In males, chronic hypercortisolism is also associated with hypoandrogenism. Long-term prednisone therapy reduces circulating Testo levels</w:t>
      </w:r>
      <w:r w:rsidR="00B164AD">
        <w:t xml:space="preserve"> [</w:t>
      </w:r>
      <w:r>
        <w:t xml:space="preserve">170]. Similar </w:t>
      </w:r>
      <w:r>
        <w:lastRenderedPageBreak/>
        <w:t>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178], with the possible exception of ovulation. In the direct link, LH must stimulate ovarian Testo synthesis in order to achieve estrogen upregulation, but a reverse link, where Testo directly inhibits LH, is absent in women</w:t>
      </w:r>
      <w:r w:rsidR="00B164AD">
        <w:t xml:space="preserve"> [</w:t>
      </w:r>
      <w:r>
        <w:t xml:space="preserve">179, 180]. Although measurement methods and </w:t>
      </w:r>
      <w:r>
        <w:lastRenderedPageBreak/>
        <w:t>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t xml:space="preserve">In adult female CS, muscle catabolism increase contrasts with virilization and circulating androgens changes. This suggests that relative hyperandrogenism in some </w:t>
      </w:r>
      <w:r>
        <w:lastRenderedPageBreak/>
        <w:t>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1890CF4F" w:rsidR="001A02FD" w:rsidRDefault="00FE328A" w:rsidP="00FE328A">
      <w:pPr>
        <w:pStyle w:val="BUMainText"/>
        <w:ind w:firstLine="720"/>
      </w:pPr>
      <w:r>
        <w:lastRenderedPageBreak/>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7" w:name="_Toc422997563"/>
      <w:r w:rsidRPr="00FE328A">
        <w:rPr>
          <w:sz w:val="24"/>
        </w:rPr>
        <w:t>Molecular mechanisms of androgenic myoprotection in humans</w:t>
      </w:r>
      <w:bookmarkEnd w:id="17"/>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201, 202]. The gain in muscle mass is caused mainly by an increase in protein synthesis, as evidenced by increased nonoxidative uptake of labeled leucine</w:t>
      </w:r>
      <w:r w:rsidR="00B164AD">
        <w:t xml:space="preserve"> [</w:t>
      </w:r>
      <w:r>
        <w:t xml:space="preserve">202]. Moreover, Testo causes an increase in FSR of myosin heavy chain (MyHC), indicating that protein accretion is localized in the </w:t>
      </w:r>
      <w:r>
        <w:lastRenderedPageBreak/>
        <w:t>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t>Another well-studies group comprises older men, whose Testo levels and muscle mass are naturally declining</w:t>
      </w:r>
      <w:r w:rsidR="00B164AD">
        <w:t xml:space="preserve"> [</w:t>
      </w:r>
      <w:r>
        <w:t xml:space="preserve">207, 208]. An argument has been made about benefits of Testo replacement therapy in this population. Multiple clinical studies tested this </w:t>
      </w:r>
      <w:r>
        <w:lastRenderedPageBreak/>
        <w:t>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w:t>
      </w:r>
      <w:r w:rsidR="00B164AD">
        <w:t xml:space="preserve"> [</w:t>
      </w:r>
      <w:r>
        <w:t xml:space="preserve">216]. It is unclear why the anti-catabolic action of </w:t>
      </w:r>
      <w:r>
        <w:lastRenderedPageBreak/>
        <w:t>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74E72D51"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T-treated muscle upregulated expression of genes from the IGF-I- and AR-stimulated signaling pathways</w:t>
      </w:r>
      <w:r w:rsidR="00B164AD">
        <w:t xml:space="preserve"> [</w:t>
      </w:r>
      <w:r>
        <w:t xml:space="preserve">224]. Immunoblot confirmatory studies indicated that Testo caused the activation of a key component of the IGF-I signaling pathway, the protein kinase B, also known as Akt, </w:t>
      </w:r>
      <w:r>
        <w:lastRenderedPageBreak/>
        <w:t>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t xml:space="preserve">A cross-sectional study split a cohort of males with heart failure, without cachexia and with normal circulating cortisol, Testo and ACTH levels in two halves based on their cortisol level. The subgroup with lower circulating cortisol achieved a higher peak work </w:t>
      </w:r>
      <w:r>
        <w:lastRenderedPageBreak/>
        <w:t>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8" w:name="_Toc422997564"/>
      <w:r>
        <w:lastRenderedPageBreak/>
        <w:t>BIOLOGICAL PREMISES</w:t>
      </w:r>
      <w:bookmarkEnd w:id="18"/>
    </w:p>
    <w:p w14:paraId="31B9AB03" w14:textId="20D29E44" w:rsidR="00FE328A" w:rsidRPr="00FE328A" w:rsidRDefault="00FE328A" w:rsidP="00FE328A">
      <w:pPr>
        <w:pStyle w:val="Heading2"/>
        <w:rPr>
          <w:sz w:val="24"/>
          <w:szCs w:val="24"/>
        </w:rPr>
      </w:pPr>
      <w:bookmarkStart w:id="19" w:name="_Toc422997565"/>
      <w:r w:rsidRPr="00FE328A">
        <w:rPr>
          <w:sz w:val="24"/>
          <w:szCs w:val="24"/>
        </w:rPr>
        <w:t>Skeletal muscle histology</w:t>
      </w:r>
      <w:bookmarkEnd w:id="19"/>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343760A3"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25B8F0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771B0CF3" w:rsidR="00FE328A" w:rsidRDefault="00FE328A" w:rsidP="00FE328A">
      <w:pPr>
        <w:pStyle w:val="BUMainText"/>
        <w:ind w:firstLine="720"/>
      </w:pPr>
      <w:r>
        <w:t>Experimentally, α7 integrin is an effective marker for selecting proliferative precursors from muscle</w:t>
      </w:r>
      <w:r w:rsidR="00B164AD">
        <w:t xml:space="preserve"> [</w:t>
      </w:r>
      <w:r>
        <w:t>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20" w:name="_Toc422997566"/>
      <w:r w:rsidRPr="00FE328A">
        <w:rPr>
          <w:sz w:val="24"/>
          <w:szCs w:val="24"/>
        </w:rPr>
        <w:t>Pre-adult muscle development</w:t>
      </w:r>
      <w:bookmarkEnd w:id="20"/>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0180454C"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256]).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52D017D"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29333D81"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1" w:name="_Toc422997567"/>
      <w:r w:rsidRPr="00FE328A">
        <w:rPr>
          <w:sz w:val="24"/>
          <w:szCs w:val="24"/>
        </w:rPr>
        <w:t>Physiological muscle metabolism</w:t>
      </w:r>
      <w:bookmarkEnd w:id="21"/>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27D72419"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in vitro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DC88444" w:rsidR="002B6DC5" w:rsidRDefault="00FE328A" w:rsidP="00FE328A">
      <w:pPr>
        <w:pStyle w:val="BUMainText"/>
        <w:ind w:firstLine="720"/>
      </w:pPr>
      <w:r>
        <w:t>In vivo, BCAA are used by muscle as protein precursors, signaling molecules, and energetic substrates, when preferred energetic substrates are not available</w:t>
      </w:r>
      <w:r w:rsidR="00B164AD">
        <w:t xml:space="preserve"> [</w:t>
      </w:r>
      <w:r>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t>301, 302].</w:t>
      </w:r>
    </w:p>
    <w:p w14:paraId="6BDC71D1" w14:textId="77777777" w:rsidR="002B6DC5" w:rsidRPr="002B6DC5" w:rsidRDefault="00FE328A" w:rsidP="002B6DC5">
      <w:pPr>
        <w:pStyle w:val="Heading2"/>
        <w:rPr>
          <w:sz w:val="24"/>
          <w:szCs w:val="24"/>
        </w:rPr>
      </w:pPr>
      <w:bookmarkStart w:id="22" w:name="_Toc422997568"/>
      <w:r w:rsidRPr="002B6DC5">
        <w:rPr>
          <w:sz w:val="24"/>
          <w:szCs w:val="24"/>
        </w:rPr>
        <w:t>Adult muscle remodeling</w:t>
      </w:r>
      <w:bookmarkEnd w:id="22"/>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3" w:name="_Toc422997569"/>
      <w:r w:rsidRPr="002B6DC5">
        <w:rPr>
          <w:sz w:val="24"/>
          <w:szCs w:val="24"/>
        </w:rPr>
        <w:t>Hormonal control of muscle mass</w:t>
      </w:r>
      <w:bookmarkEnd w:id="23"/>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7AD1ACFB"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4" w:name="_Toc422997570"/>
      <w:r w:rsidRPr="002B6DC5">
        <w:rPr>
          <w:sz w:val="24"/>
          <w:szCs w:val="24"/>
        </w:rPr>
        <w:t>Interaction of muscle mass and vascularization</w:t>
      </w:r>
      <w:bookmarkEnd w:id="24"/>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5" w:name="_Toc422997571"/>
      <w:r w:rsidRPr="002B6DC5">
        <w:rPr>
          <w:sz w:val="24"/>
          <w:szCs w:val="24"/>
        </w:rPr>
        <w:t>Control of muscle mass through innervation</w:t>
      </w:r>
      <w:bookmarkEnd w:id="25"/>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350]. Eliminated motor neurons include neurons whose axons fail to reach myotubes, and neurons that eventually fail to maintain contact with myotubes, due to synapse elimination. The latter is a selective, 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695D5E3D" w:rsidR="002B6DC5" w:rsidRDefault="00FE328A" w:rsidP="00FE328A">
      <w:pPr>
        <w:pStyle w:val="BUMainText"/>
        <w:ind w:firstLine="720"/>
      </w:pPr>
      <w:r>
        <w:t>Because the mTOR inhibitor rapamycin prevents fiber hypertrophy that normally follows in vivo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6" w:name="_Toc422997572"/>
      <w:r w:rsidRPr="002B6DC5">
        <w:rPr>
          <w:sz w:val="24"/>
          <w:szCs w:val="24"/>
        </w:rPr>
        <w:lastRenderedPageBreak/>
        <w:t>Animal models of glucocorticoid myopathy</w:t>
      </w:r>
      <w:bookmarkEnd w:id="26"/>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8CA462A"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364ECC5E"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396]. In addition to myotubes, C2C12 may differentiate into adipose-like or osteoblast-like cells. To avoid histological ambiguities, this chapter will refer mainly to in vivo studies.</w:t>
      </w:r>
    </w:p>
    <w:p w14:paraId="369D8AC3" w14:textId="75889641"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B164AD">
        <w:t xml:space="preserve"> [</w:t>
      </w:r>
      <w:r>
        <w:t>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7" w:name="_Toc422997573"/>
      <w:r w:rsidRPr="00F3504A">
        <w:rPr>
          <w:sz w:val="24"/>
          <w:szCs w:val="24"/>
        </w:rPr>
        <w:t>Glucocorticoid stimulation of ubiquitin-proteasome system</w:t>
      </w:r>
      <w:bookmarkEnd w:id="27"/>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04DC92DA" w:rsidR="00283331" w:rsidRDefault="00FE328A" w:rsidP="00FE328A">
      <w:pPr>
        <w:pStyle w:val="BUMainText"/>
        <w:ind w:firstLine="720"/>
      </w:pPr>
      <w:r>
        <w:t>In vivo GAML is best correlated with an upregulation of the</w:t>
      </w:r>
      <w:r w:rsidR="00283331">
        <w:t xml:space="preserve"> </w:t>
      </w:r>
      <w:r>
        <w:t xml:space="preserve">ubiquitin-proteasome system. The increase in proteolytic rate is unchanged when explants are treated with the </w:t>
      </w:r>
      <w:r>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t>412], or depleted of ATP by a combination of the mitochondrial decoupling agent dinitrophenol and the unlysable glucose homologue,</w:t>
      </w:r>
      <w:r w:rsidR="00283331">
        <w:t xml:space="preserve"> </w:t>
      </w:r>
      <w:r>
        <w:t>2-deoxyglucose</w:t>
      </w:r>
      <w:r w:rsidR="00B164AD">
        <w:t xml:space="preserve"> [</w:t>
      </w:r>
      <w:r>
        <w:t>413]. Proteasome chymotrypsin-like catalytic activity is doubled</w:t>
      </w:r>
      <w:r w:rsidR="00283331">
        <w:t xml:space="preserve"> </w:t>
      </w:r>
      <w:r>
        <w:t>by Dexa</w:t>
      </w:r>
      <w:r w:rsidR="00B164AD">
        <w:t xml:space="preserve"> [</w:t>
      </w:r>
      <w:r>
        <w:t>414]. Dexa upregulates proteasome subunits such as C1, C2, C4, C5</w:t>
      </w:r>
      <w:r w:rsidR="00B164AD">
        <w:t xml:space="preserve"> [</w:t>
      </w:r>
      <w:r>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03DBA982"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417]. In vivo,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69F3BCD1"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436]. In vitro,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0BAA89B2"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8" w:name="_Toc422997574"/>
      <w:r w:rsidRPr="00317593">
        <w:rPr>
          <w:sz w:val="24"/>
          <w:szCs w:val="24"/>
        </w:rPr>
        <w:t>Glucocorticoid-induced loss of sensitivity on the IRS - Akt axis</w:t>
      </w:r>
      <w:bookmarkEnd w:id="28"/>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D3A8E16"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non-transcriptional effect has not been fully explored in GAML in vivo, but is supported by the unusual persistence of IRS1-PI3K complexes during diabetes in GR knockout mice muscle</w:t>
      </w:r>
      <w:r w:rsidR="00B164AD">
        <w:t xml:space="preserve"> [</w:t>
      </w:r>
      <w:r>
        <w:t>460].</w:t>
      </w:r>
    </w:p>
    <w:p w14:paraId="0469045C" w14:textId="5ACF8D38"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the membrane lipids to synthesize 3-phosphoinositides. In muscle cell lines treated with Dexa in vitro,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F257379"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5444B54A" w:rsidR="00F3504A" w:rsidRDefault="00FE328A" w:rsidP="00FE328A">
      <w:pPr>
        <w:pStyle w:val="BUMainText"/>
        <w:ind w:firstLine="720"/>
      </w:pPr>
      <w:r>
        <w:t>The interdependence between Ser 473 and Thr 308 is illustrated by the fact</w:t>
      </w:r>
      <w:r w:rsidR="00F3504A">
        <w:t xml:space="preserve"> </w:t>
      </w:r>
      <w:r>
        <w:t>that non-mutagenic in vivo experiments rarely describe Akt activation without phosphorylation at both residues (reviewed in</w:t>
      </w:r>
      <w:r w:rsidR="00B164AD">
        <w:t xml:space="preserve"> [</w:t>
      </w:r>
      <w:r>
        <w:t xml:space="preserve">468]). In vivo, the scarcity of segregation reports leads to lack of knowledge regarding potential independent specializations for the </w:t>
      </w:r>
      <w:r>
        <w:lastRenderedPageBreak/>
        <w:t>two sites. However, in vitro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9" w:name="_Toc422997575"/>
      <w:r w:rsidRPr="00317593">
        <w:rPr>
          <w:sz w:val="24"/>
          <w:szCs w:val="24"/>
        </w:rPr>
        <w:t>Glucocorticoid inhibition of mTOR</w:t>
      </w:r>
      <w:bookmarkEnd w:id="29"/>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F6315B6"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in GAML in vivo.</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2723B048"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498], indicating that, on the contrary, mTOR is indispensable for PI3K effects. Most likely, both hypotheses are based on reductionist models that do not reflect true in vivo phenomena.</w:t>
      </w:r>
    </w:p>
    <w:p w14:paraId="0492C7AF" w14:textId="56C2C866" w:rsidR="00F3504A" w:rsidRDefault="00FE328A" w:rsidP="00FE328A">
      <w:pPr>
        <w:pStyle w:val="BUMainText"/>
        <w:ind w:firstLine="720"/>
      </w:pPr>
      <w:r>
        <w:t>Discovery of novel mTORC1 substrates such as UNC-51-like kinase 1 (ULK1)</w:t>
      </w:r>
      <w:r w:rsidR="00B164AD">
        <w:t xml:space="preserve"> [</w:t>
      </w:r>
      <w:r>
        <w:t>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30" w:name="_Toc422997576"/>
      <w:r w:rsidRPr="00317593">
        <w:rPr>
          <w:sz w:val="24"/>
          <w:szCs w:val="24"/>
        </w:rPr>
        <w:t>Glucocorticoid activation of Foxo transcriptional program</w:t>
      </w:r>
      <w:bookmarkEnd w:id="30"/>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2F50A216"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In vitro,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3CFDB5EF"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376, 506]. In vivo,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1" w:name="_Toc422997577"/>
      <w:r w:rsidRPr="00317593">
        <w:rPr>
          <w:sz w:val="24"/>
          <w:szCs w:val="24"/>
        </w:rPr>
        <w:t>Glucocorticoid activation of myostatin</w:t>
      </w:r>
      <w:bookmarkEnd w:id="31"/>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6FF328F8"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2" w:name="_Toc422997578"/>
      <w:r w:rsidRPr="00317593">
        <w:rPr>
          <w:sz w:val="24"/>
          <w:szCs w:val="24"/>
        </w:rPr>
        <w:t>Glucocorticoid modulation of protein synthesis</w:t>
      </w:r>
      <w:bookmarkEnd w:id="32"/>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4394F589" w:rsidR="00317593" w:rsidRDefault="00FE328A" w:rsidP="00FE328A">
      <w:pPr>
        <w:pStyle w:val="BUMainText"/>
        <w:ind w:firstLine="720"/>
      </w:pPr>
      <w:r>
        <w:t>Even when detected, the amplitude of changes in protein synthesis in vitro</w:t>
      </w:r>
      <w:r w:rsidR="00B164AD">
        <w:t xml:space="preserve"> [</w:t>
      </w:r>
      <w:r>
        <w:t>545, 546, 547] and 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78FDAF8B"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497]. The role of eIF3f in GAML has not been confirmed in vivo.</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3" w:name="_Toc422997579"/>
      <w:r w:rsidRPr="00317593">
        <w:rPr>
          <w:sz w:val="24"/>
          <w:szCs w:val="24"/>
        </w:rPr>
        <w:t>The effects of glucocorticoids on autophagy</w:t>
      </w:r>
      <w:bookmarkEnd w:id="33"/>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4C917A81" w:rsidR="00317593" w:rsidRDefault="00FE328A" w:rsidP="00FE328A">
      <w:pPr>
        <w:pStyle w:val="BUMainText"/>
        <w:ind w:firstLine="720"/>
      </w:pPr>
      <w:r>
        <w:t>Dexa reliably upregulates the family of lysosome proteases known as cathepsins. In vivo,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6E4F6363" w:rsidR="00317593" w:rsidRDefault="00FE328A" w:rsidP="00FE328A">
      <w:pPr>
        <w:pStyle w:val="BUMainText"/>
        <w:ind w:firstLine="720"/>
      </w:pPr>
      <w:r>
        <w:t>In vivo, LC3 changes are rarely documented. Acute Dexa causes accumulation of LC3-II protein</w:t>
      </w:r>
      <w:r w:rsidR="00B164AD">
        <w:t xml:space="preserve"> [</w:t>
      </w:r>
      <w:r>
        <w:t>494]. Recently, the enrichment of LC3-II after chronic Dexa has been reported in rats</w:t>
      </w:r>
      <w:r w:rsidR="00B164AD">
        <w:t xml:space="preserve"> [</w:t>
      </w:r>
      <w:r>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4" w:name="_Toc422997580"/>
      <w:r w:rsidRPr="00317593">
        <w:rPr>
          <w:sz w:val="24"/>
          <w:szCs w:val="24"/>
        </w:rPr>
        <w:t>Other proteolytic systems modulated by glucocorticoids</w:t>
      </w:r>
      <w:bookmarkEnd w:id="34"/>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5B97A3CF"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5" w:name="_Toc422997581"/>
      <w:r w:rsidRPr="00317593">
        <w:rPr>
          <w:sz w:val="24"/>
          <w:szCs w:val="24"/>
        </w:rPr>
        <w:lastRenderedPageBreak/>
        <w:t>Alleviation of glucocorticoid myopathy by IGF-I</w:t>
      </w:r>
      <w:bookmarkEnd w:id="35"/>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302AC7E6" w:rsidR="00317593" w:rsidRDefault="00FE328A" w:rsidP="00FE328A">
      <w:pPr>
        <w:pStyle w:val="BUMainText"/>
        <w:ind w:firstLine="720"/>
      </w:pPr>
      <w:r>
        <w:lastRenderedPageBreak/>
        <w:t>In vivo, Dexa reduces muscle expression of IGF-I</w:t>
      </w:r>
      <w:r w:rsidR="00B164AD">
        <w:t xml:space="preserve"> [</w:t>
      </w:r>
      <w:r>
        <w:t>581, 190], and possibly interferes by altering IGFBP secretion</w:t>
      </w:r>
      <w:r w:rsidR="00B164AD">
        <w:t xml:space="preserve"> [</w:t>
      </w:r>
      <w:r>
        <w:t>425]. Therefore, GAML manifests as an absolute loss of IGF-I exacerbated by a downstream inhibition. Intuitively, IGF-I supplementation may provide GAML alleviation.</w:t>
      </w:r>
    </w:p>
    <w:p w14:paraId="512A1AD6" w14:textId="4351474D"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107AE243"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6" w:name="_Toc422997582"/>
      <w:r w:rsidRPr="002112A0">
        <w:rPr>
          <w:sz w:val="24"/>
          <w:szCs w:val="24"/>
        </w:rPr>
        <w:t>Alleviation of glucocorticoid myopathy by anabolic steroids</w:t>
      </w:r>
      <w:bookmarkEnd w:id="36"/>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51BDABDB"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B164AD">
        <w:t xml:space="preserve"> [</w:t>
      </w:r>
      <w:r>
        <w:t>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3F9F3072"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546]. Given the limited number of attempts, the failure of in vitro systems to replicate in vivo benefits may be ascribed to reduced sensitivity rather than to fundamental shortcomings of the in vitro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7" w:name="_Toc422997583"/>
      <w:r>
        <w:lastRenderedPageBreak/>
        <w:t>HYPOTHESES</w:t>
      </w:r>
      <w:bookmarkEnd w:id="37"/>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8" w:name="_Toc422997584"/>
      <w:r>
        <w:lastRenderedPageBreak/>
        <w:t>METHODS</w:t>
      </w:r>
      <w:bookmarkEnd w:id="38"/>
    </w:p>
    <w:p w14:paraId="0DBA7B02" w14:textId="77777777" w:rsidR="002112A0" w:rsidRPr="002112A0" w:rsidRDefault="00FE328A" w:rsidP="002112A0">
      <w:pPr>
        <w:pStyle w:val="Heading2"/>
        <w:rPr>
          <w:sz w:val="24"/>
          <w:szCs w:val="24"/>
        </w:rPr>
      </w:pPr>
      <w:bookmarkStart w:id="39" w:name="_Toc422997585"/>
      <w:r w:rsidRPr="002112A0">
        <w:rPr>
          <w:sz w:val="24"/>
          <w:szCs w:val="24"/>
        </w:rPr>
        <w:t>Ethical considerations</w:t>
      </w:r>
      <w:bookmarkEnd w:id="39"/>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40" w:name="_Toc422997586"/>
      <w:r w:rsidRPr="002112A0">
        <w:rPr>
          <w:sz w:val="24"/>
          <w:szCs w:val="24"/>
        </w:rPr>
        <w:t>Animal studies</w:t>
      </w:r>
      <w:bookmarkEnd w:id="40"/>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1" w:name="_Toc422997587"/>
      <w:r w:rsidRPr="00831C31">
        <w:rPr>
          <w:sz w:val="24"/>
          <w:szCs w:val="24"/>
        </w:rPr>
        <w:lastRenderedPageBreak/>
        <w:t>Enzymatic assays</w:t>
      </w:r>
      <w:bookmarkEnd w:id="41"/>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2" w:name="_Toc422997588"/>
      <w:r w:rsidRPr="00831C31">
        <w:rPr>
          <w:sz w:val="24"/>
          <w:szCs w:val="24"/>
        </w:rPr>
        <w:t>Immunoblot</w:t>
      </w:r>
      <w:bookmarkEnd w:id="42"/>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3" w:name="_Toc422997589"/>
      <w:r w:rsidRPr="00831C31">
        <w:rPr>
          <w:sz w:val="24"/>
          <w:szCs w:val="24"/>
        </w:rPr>
        <w:lastRenderedPageBreak/>
        <w:t>Quantitative real-time polymerase chain reaction</w:t>
      </w:r>
      <w:bookmarkEnd w:id="43"/>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4"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4"/>
    </w:p>
    <w:p w14:paraId="2A4EEBBF" w14:textId="77777777" w:rsidR="00831C31" w:rsidRPr="00831C31" w:rsidRDefault="00FE328A" w:rsidP="00831C31">
      <w:pPr>
        <w:pStyle w:val="Heading2"/>
        <w:rPr>
          <w:sz w:val="24"/>
          <w:szCs w:val="24"/>
        </w:rPr>
      </w:pPr>
      <w:bookmarkStart w:id="45" w:name="_Toc422997590"/>
      <w:r w:rsidRPr="00831C31">
        <w:rPr>
          <w:sz w:val="24"/>
          <w:szCs w:val="24"/>
        </w:rPr>
        <w:t>Cell culture studies</w:t>
      </w:r>
      <w:bookmarkEnd w:id="45"/>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6" w:name="_Toc422997591"/>
      <w:r w:rsidRPr="00195D40">
        <w:rPr>
          <w:sz w:val="24"/>
          <w:szCs w:val="24"/>
        </w:rPr>
        <w:t>Immunofluorescence microscopy</w:t>
      </w:r>
      <w:bookmarkEnd w:id="46"/>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7" w:name="_Toc422997592"/>
      <w:r w:rsidRPr="00195D40">
        <w:rPr>
          <w:sz w:val="24"/>
          <w:szCs w:val="24"/>
        </w:rPr>
        <w:t>Measurement of muscle protein synthesis and degradation</w:t>
      </w:r>
      <w:bookmarkEnd w:id="47"/>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8" w:name="_Toc422997593"/>
      <w:r w:rsidRPr="00195D40">
        <w:rPr>
          <w:sz w:val="24"/>
          <w:szCs w:val="24"/>
        </w:rPr>
        <w:lastRenderedPageBreak/>
        <w:t>Statistics</w:t>
      </w:r>
      <w:bookmarkEnd w:id="48"/>
    </w:p>
    <w:p w14:paraId="2F2F327D" w14:textId="6CF54385" w:rsidR="00195D40"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9" w:name="_Toc422997594"/>
      <w:r w:rsidRPr="00195D40">
        <w:rPr>
          <w:sz w:val="24"/>
          <w:szCs w:val="24"/>
        </w:rPr>
        <w:t>Literature review</w:t>
      </w:r>
      <w:bookmarkEnd w:id="49"/>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50" w:name="_Toc422997595"/>
      <w:r>
        <w:lastRenderedPageBreak/>
        <w:t>IN VIVO EXPERIMENTS</w:t>
      </w:r>
      <w:bookmarkEnd w:id="50"/>
    </w:p>
    <w:p w14:paraId="3A463F2C" w14:textId="77777777" w:rsidR="00195D40" w:rsidRPr="00195D40" w:rsidRDefault="00195D40" w:rsidP="00195D40">
      <w:pPr>
        <w:pStyle w:val="Heading2"/>
        <w:rPr>
          <w:sz w:val="24"/>
          <w:szCs w:val="24"/>
        </w:rPr>
      </w:pPr>
      <w:bookmarkStart w:id="51" w:name="_Toc422997596"/>
      <w:r w:rsidRPr="00195D40">
        <w:rPr>
          <w:sz w:val="24"/>
          <w:szCs w:val="24"/>
        </w:rPr>
        <w:t>Testosterone reverses dexamethasone-induced muscle atrophy</w:t>
      </w:r>
      <w:bookmarkEnd w:id="51"/>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2"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2"/>
    </w:p>
    <w:p w14:paraId="06F9F7EE" w14:textId="3C392D3C" w:rsidR="002C7841" w:rsidRPr="00FF7834" w:rsidRDefault="002C7841" w:rsidP="002C7841">
      <w:pPr>
        <w:pStyle w:val="Caption"/>
        <w:rPr>
          <w:sz w:val="20"/>
          <w:szCs w:val="20"/>
        </w:rPr>
      </w:pPr>
      <w:bookmarkStart w:id="53"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3"/>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4"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4"/>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5"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5"/>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6"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6"/>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7"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7"/>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8"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8"/>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9" w:name="_Toc422997597"/>
      <w:r w:rsidRPr="00432D83">
        <w:rPr>
          <w:sz w:val="24"/>
          <w:szCs w:val="24"/>
        </w:rPr>
        <w:t>Testosterone reverses glucocorticoid-induced activation of the ubiquitin-proteasome system</w:t>
      </w:r>
      <w:bookmarkEnd w:id="59"/>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0"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0"/>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1"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1"/>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2"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2"/>
    </w:p>
    <w:p w14:paraId="556FB3D5" w14:textId="77777777" w:rsidR="007826D2" w:rsidRPr="007E0DA4" w:rsidRDefault="007826D2" w:rsidP="00D25209">
      <w:pPr>
        <w:pStyle w:val="Heading2"/>
        <w:rPr>
          <w:sz w:val="24"/>
          <w:szCs w:val="24"/>
        </w:rPr>
      </w:pPr>
      <w:bookmarkStart w:id="63" w:name="_Toc422997598"/>
      <w:r w:rsidRPr="007E0DA4">
        <w:rPr>
          <w:sz w:val="24"/>
          <w:szCs w:val="24"/>
        </w:rPr>
        <w:t>Autophagy markers during dexamethasone and testosterone treatments</w:t>
      </w:r>
      <w:bookmarkEnd w:id="63"/>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4"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4"/>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5"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5"/>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6"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6"/>
    </w:p>
    <w:p w14:paraId="7DCC83DF" w14:textId="77777777" w:rsidR="007826D2" w:rsidRPr="007E0DA4" w:rsidRDefault="007826D2" w:rsidP="007E0DA4">
      <w:pPr>
        <w:pStyle w:val="Heading2"/>
        <w:rPr>
          <w:sz w:val="24"/>
          <w:szCs w:val="24"/>
        </w:rPr>
      </w:pPr>
      <w:bookmarkStart w:id="67" w:name="_Toc422997599"/>
      <w:r w:rsidRPr="007E0DA4">
        <w:rPr>
          <w:sz w:val="24"/>
          <w:szCs w:val="24"/>
        </w:rPr>
        <w:t>Protein synthesis modulation during Dexa-induced muscle atrophy</w:t>
      </w:r>
      <w:bookmarkEnd w:id="67"/>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8"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8"/>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9"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9"/>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0" w:name="_Toc422997600"/>
      <w:r w:rsidRPr="00B33DD5">
        <w:rPr>
          <w:sz w:val="24"/>
          <w:szCs w:val="24"/>
        </w:rPr>
        <w:t>Foxo pathway response to dexamethasone and testosterone</w:t>
      </w:r>
      <w:bookmarkEnd w:id="70"/>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1"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1"/>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2" w:name="_Toc422997601"/>
      <w:r w:rsidRPr="00B33DD5">
        <w:rPr>
          <w:sz w:val="24"/>
          <w:szCs w:val="24"/>
        </w:rPr>
        <w:t>Akt pathway response to dexamethasone and testosterone</w:t>
      </w:r>
      <w:bookmarkEnd w:id="72"/>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bookmarkStart w:id="73"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3"/>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4"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4"/>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396E2918" w14:textId="77777777" w:rsidR="00B33DD5" w:rsidRDefault="00B33DD5" w:rsidP="00B33DD5">
      <w:pPr>
        <w:pStyle w:val="BUMainText"/>
        <w:ind w:firstLine="720"/>
        <w:sectPr w:rsidR="00B33DD5" w:rsidSect="00194CC5">
          <w:headerReference w:type="default" r:id="rId46"/>
          <w:footerReference w:type="default" r:id="rId47"/>
          <w:headerReference w:type="first" r:id="rId48"/>
          <w:footerReference w:type="first" r:id="rId49"/>
          <w:pgSz w:w="12240" w:h="15840"/>
          <w:pgMar w:top="2160" w:right="1440" w:bottom="1440" w:left="2160" w:header="1440" w:footer="1080" w:gutter="0"/>
          <w:cols w:space="720"/>
          <w:docGrid w:linePitch="360"/>
        </w:sectPr>
      </w:pPr>
    </w:p>
    <w:p w14:paraId="27853F02" w14:textId="48E0062B" w:rsidR="007826D2" w:rsidRDefault="007826D2" w:rsidP="00B33DD5">
      <w:pPr>
        <w:pStyle w:val="Heading1"/>
      </w:pPr>
      <w:bookmarkStart w:id="77" w:name="_Toc422997603"/>
      <w:r>
        <w:lastRenderedPageBreak/>
        <w:t>IN VITRO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617753F2">
            <wp:extent cx="5486400" cy="4937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4FEEC448" w:rsidR="008F6C67" w:rsidRDefault="007826D2" w:rsidP="008F6C67">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77777777" w:rsidR="008F6C67" w:rsidRDefault="008F6C67" w:rsidP="008F6C67">
      <w:pPr>
        <w:pStyle w:val="BUMainText"/>
        <w:ind w:firstLine="720"/>
      </w:pPr>
      <w:r>
        <w:t>Overall, the changes in cell diameter and total protein content are similar to changes observed in muscle in vivo.</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718E658F">
            <wp:extent cx="5213267" cy="63056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rotWithShape="1">
                    <a:blip r:embed="rId52">
                      <a:extLst>
                        <a:ext uri="{28A0092B-C50C-407E-A947-70E740481C1C}">
                          <a14:useLocalDpi xmlns:a14="http://schemas.microsoft.com/office/drawing/2010/main" val="0"/>
                        </a:ext>
                      </a:extLst>
                    </a:blip>
                    <a:srcRect l="16888" t="9031" r="11677" b="18886"/>
                    <a:stretch/>
                  </pic:blipFill>
                  <pic:spPr bwMode="auto">
                    <a:xfrm>
                      <a:off x="0" y="0"/>
                      <a:ext cx="5218429" cy="6311938"/>
                    </a:xfrm>
                    <a:prstGeom prst="rect">
                      <a:avLst/>
                    </a:prstGeom>
                    <a:ln>
                      <a:noFill/>
                    </a:ln>
                    <a:extLst>
                      <a:ext uri="{53640926-AAD7-44D8-BBD7-CCE9431645EC}">
                        <a14:shadowObscured xmlns:a14="http://schemas.microsoft.com/office/drawing/2010/main"/>
                      </a:ext>
                    </a:extLst>
                  </pic:spPr>
                </pic:pic>
              </a:graphicData>
            </a:graphic>
          </wp:inline>
        </w:drawing>
      </w:r>
    </w:p>
    <w:p w14:paraId="60ECAB1E" w14:textId="26D8F267"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3">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3BB52A82"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4">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3995017A"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5"/>
          <w:footerReference w:type="default" r:id="rId56"/>
          <w:headerReference w:type="first" r:id="rId57"/>
          <w:footerReference w:type="first" r:id="rId58"/>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5F8969EA" w:rsidR="008F6C67" w:rsidRDefault="008F6C67" w:rsidP="008F6C67">
      <w:pPr>
        <w:pStyle w:val="BUMainText"/>
        <w:ind w:firstLine="720"/>
      </w:pPr>
      <w:r>
        <w:t>There was a remarkable similarity between the first 3 days of the in vivo experiment and the in vitro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77777777" w:rsidR="008F6C67" w:rsidRDefault="008F6C67" w:rsidP="008F6C67">
      <w:pPr>
        <w:pStyle w:val="BUMainText"/>
        <w:ind w:firstLine="720"/>
      </w:pPr>
      <w:r>
        <w:t xml:space="preserve">In contrast to the in vivo studies, the in vitro study could not have been extended beyond the early days. Cells ability to thrive degraded towards their third day of Dexa treatment, that is, their ninth day of differentiation. The significant reduction in protein </w:t>
      </w:r>
      <w:r>
        <w:lastRenderedPageBreak/>
        <w:t>synthesis seen at the 72-hour time point suggests that the cells became less metabolically active compared to the 48-hour time point, perhaps due to senescence. Therefore, the in vitro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in vitro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77777777" w:rsidR="008F6C67" w:rsidRDefault="008F6C67" w:rsidP="008F6C67">
      <w:pPr>
        <w:pStyle w:val="BUMainText"/>
        <w:ind w:firstLine="720"/>
      </w:pPr>
      <w:r>
        <w:t xml:space="preserve">In vitro, myoprotective action of Testo was similarly present at late time-points. The protection of C2C12 myotubes was dose-dependent, based on the total protein assay. Paralleling the in vivo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77777777" w:rsidR="008F6C67" w:rsidRDefault="008F6C67" w:rsidP="008F6C67">
      <w:pPr>
        <w:pStyle w:val="BUMainText"/>
        <w:ind w:firstLine="720"/>
      </w:pPr>
      <w:r>
        <w:t xml:space="preserve">In vivo,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36F66D25" w:rsidR="008F6C67" w:rsidRDefault="008F6C67" w:rsidP="008F6C67">
      <w:pPr>
        <w:pStyle w:val="BUMainText"/>
        <w:ind w:firstLine="720"/>
      </w:pPr>
      <w:r>
        <w:t>All these catabolic changes were inhibited by Testo co-administration. In vitro,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77777777" w:rsidR="008F6C67" w:rsidRDefault="008F6C67" w:rsidP="008F6C67">
      <w:pPr>
        <w:pStyle w:val="BUMainText"/>
        <w:ind w:firstLine="720"/>
      </w:pPr>
      <w:r>
        <w:lastRenderedPageBreak/>
        <w:t>In vitro, proteasome inhibition led to nearly complete suppression of proteolysis, beyond the basal levels seen in vehicle-treated cells. This finding indicates that most of the proteolytic activity in C2C12 cells is dependent on the proteasome.</w:t>
      </w:r>
    </w:p>
    <w:p w14:paraId="45373093" w14:textId="17AC12DC"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617, 435]. The distinction between the two scenarios is difficult, especially in the in vivo approach. In either scenario, the role of the proteasome is indispensable for GAML. Nevertheless, proteasome inhibition by Testo co-administration emerges from this work as an important mechanism of GAML alleviation.</w:t>
      </w:r>
    </w:p>
    <w:p w14:paraId="56B82E15" w14:textId="77777777" w:rsidR="008F6C67" w:rsidRDefault="008F6C67" w:rsidP="008F6C67">
      <w:pPr>
        <w:pStyle w:val="BUMainText"/>
        <w:ind w:firstLine="720"/>
      </w:pPr>
      <w:r>
        <w:lastRenderedPageBreak/>
        <w:t>The experiments performed in this study clearly exclude a role for the autophagosome - lysosome system in digestion of bulk myofiber proteins. The in vivo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in vivo.</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77777777"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7285382B" w:rsidR="00E0071D" w:rsidRDefault="008F6C67" w:rsidP="00E0071D">
      <w:pPr>
        <w:pStyle w:val="BUMainText"/>
        <w:ind w:firstLine="720"/>
      </w:pPr>
      <w:r>
        <w:t xml:space="preserve">While the in vivo data suggested that downregulation of autophagy is part of GAML, I found the opposite phenomenon in cell culture experiments. There, inhibition of lysosomes with chloroquine had a significant protective effect. The differences between the in vivo and in vitro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in vivo ability for muscle to regenerate. Given the reductionism of the culture cell experiment, the in vivo experiment is likely more reflective of what occurs in human glucocorticoid myopathy. The fact that Testo reversed most of the in vivo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21F77227" w:rsidR="008F6C67" w:rsidRDefault="008F6C67" w:rsidP="008F6C67">
      <w:pPr>
        <w:pStyle w:val="BUMainText"/>
        <w:ind w:firstLine="720"/>
      </w:pPr>
      <w:r>
        <w:t>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in vivo. The measurements of protein synthesis rate in vitro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77777777" w:rsidR="008F6C67" w:rsidRDefault="008F6C67" w:rsidP="008F6C67">
      <w:pPr>
        <w:pStyle w:val="BUMainText"/>
        <w:ind w:firstLine="720"/>
      </w:pPr>
      <w:r>
        <w:t>In vitro,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in vivo model. Better causal inferences could be made by employing in vivo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77777777" w:rsidR="008F6C67" w:rsidRDefault="008F6C67" w:rsidP="008F6C67">
      <w:pPr>
        <w:pStyle w:val="BUMainText"/>
        <w:ind w:firstLine="720"/>
      </w:pPr>
      <w:r>
        <w:t xml:space="preserve">This work demonstrates that Testo protects mouse muscle in vivo and in vitro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77777777" w:rsidR="008F6C67" w:rsidRDefault="008F6C67" w:rsidP="008F6C67">
      <w:pPr>
        <w:pStyle w:val="BUMainText"/>
        <w:ind w:firstLine="720"/>
      </w:pPr>
      <w:r>
        <w:t>The in vivo experiment suggest that Testo also reversed Dexa-induced repression of autophagy. The role of autophagy in GAML would be better understood by observing the effects of GC and AAS on muscle from LC3-GFP transgenic mice.</w:t>
      </w:r>
    </w:p>
    <w:p w14:paraId="7908F2A7" w14:textId="77777777" w:rsidR="008F6C67" w:rsidRDefault="008F6C67" w:rsidP="008F6C67">
      <w:pPr>
        <w:pStyle w:val="BUMainText"/>
        <w:ind w:firstLine="720"/>
      </w:pPr>
      <w:r>
        <w:t>Both autophagy and protein synthesis appeared to have changed in time, during the in vivo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0"/>
          <w:footerReference w:type="default" r:id="rId61"/>
          <w:headerReference w:type="first" r:id="rId62"/>
          <w:footerReference w:type="first" r:id="rId6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1BD6026E"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in vitro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1F4E7FC2" w:rsidR="008B292E" w:rsidRDefault="00B164AD" w:rsidP="00B904AA">
      <w:pPr>
        <w:pStyle w:val="BUBibliography"/>
        <w:ind w:left="360" w:hanging="360"/>
      </w:pPr>
      <w:r>
        <w:t xml:space="preserve"> [</w:t>
      </w:r>
      <w:r w:rsidR="008B292E">
        <w:t>55] C. Kotsarini, P. D. Griffiths, I. D. Wilkinson, and N. Hoggard. A systematic review of the literature on the effects of dexamethasone on the brain from in vivo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CAB9C29"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In Vitro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Pr>
          <w:lang w:val="it-IT"/>
        </w:rPr>
        <w:t xml:space="preserve"> [</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Pr>
          <w:lang w:val="it-IT"/>
        </w:rPr>
        <w:t xml:space="preserve"> [</w:t>
      </w:r>
      <w:r w:rsidR="008B292E" w:rsidRPr="008B292E">
        <w:rPr>
          <w:lang w:val="it-IT"/>
        </w:rPr>
        <w:t>334] A. Sotiropoulos, M. Ohanna, C. Kedzia, R. K. Menon, J. J. Kopchick, P. A.</w:t>
      </w:r>
      <w:r>
        <w:rPr>
          <w:lang w:val="it-IT"/>
        </w:rPr>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7A799D75"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in vivo.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7EC3394D" w:rsidR="008B292E" w:rsidRDefault="00B164AD" w:rsidP="00B904AA">
      <w:pPr>
        <w:pStyle w:val="BUBibliography"/>
        <w:ind w:left="360" w:hanging="360"/>
      </w:pPr>
      <w:r>
        <w:t xml:space="preserve"> [</w:t>
      </w:r>
      <w:r w:rsidR="008B292E">
        <w:t xml:space="preserve">364] J. C. Bruusgaard and K. Gundersen. In vivo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6AB293F3"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in vivo.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4E3F8AA1"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in vivo.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4FEB309B" w:rsidR="008B292E" w:rsidRDefault="00B164AD" w:rsidP="00B904AA">
      <w:pPr>
        <w:pStyle w:val="BUBibliography"/>
        <w:ind w:left="360" w:hanging="360"/>
      </w:pPr>
      <w:r>
        <w:t xml:space="preserve"> [</w:t>
      </w:r>
      <w:r w:rsidR="008B292E">
        <w:t>394] J. R. Florini and S. B. Roberts. A serum-free medium for the growth of muscle cells in culture. In vitro,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42FF8D60"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in vitro and in vivo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8B292E">
        <w:rPr>
          <w:lang w:val="it-IT"/>
        </w:rPr>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Default="00B164AD" w:rsidP="00B904AA">
      <w:pPr>
        <w:pStyle w:val="BUBibliography"/>
        <w:ind w:left="360" w:hanging="360"/>
        <w:rPr>
          <w:lang w:val="it-IT"/>
        </w:rPr>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8B292E">
        <w:rPr>
          <w:lang w:val="it-IT"/>
        </w:rPr>
        <w:t>PMID: 18644837.</w:t>
      </w:r>
      <w:r>
        <w:rPr>
          <w:lang w:val="it-IT"/>
        </w:rPr>
        <w:t xml:space="preserve"> </w:t>
      </w:r>
    </w:p>
    <w:p w14:paraId="346DB859" w14:textId="57FE0F26" w:rsidR="008B292E" w:rsidRDefault="00B164AD" w:rsidP="00B904AA">
      <w:pPr>
        <w:pStyle w:val="BUBibliography"/>
        <w:ind w:left="360" w:hanging="360"/>
      </w:pPr>
      <w:r>
        <w:rPr>
          <w:lang w:val="it-IT"/>
        </w:rPr>
        <w:t xml:space="preserve"> [</w:t>
      </w:r>
      <w:r w:rsidR="008B292E" w:rsidRPr="008B292E">
        <w:rPr>
          <w:lang w:val="it-IT"/>
        </w:rPr>
        <w:t>523] I. J. Smith, N. Alamdari, P. O’Neal, P. Gonnella, Z. Aversa, and P.-O.</w:t>
      </w:r>
      <w:r>
        <w:rPr>
          <w:lang w:val="it-IT"/>
        </w:rPr>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6A6305C9"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in vitro.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08F4D96" w:rsidR="008B292E" w:rsidRDefault="00B164AD" w:rsidP="00B904AA">
      <w:pPr>
        <w:pStyle w:val="BUBibliography"/>
        <w:ind w:left="360" w:hanging="360"/>
      </w:pPr>
      <w:r>
        <w:t xml:space="preserve"> [</w:t>
      </w:r>
      <w:r w:rsidR="008B292E">
        <w:t xml:space="preserve">547] K. L. Jones, J. Harty, M. J. Roeder, T. A. Winters, and W. J. Banz. In vitro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2E9053F3"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in vitro.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6492A089"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In vivo,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0C2012" w:rsidRDefault="00B164AD" w:rsidP="00B904AA">
      <w:pPr>
        <w:pStyle w:val="BUBibliography"/>
        <w:ind w:left="360" w:hanging="360"/>
        <w:rPr>
          <w:lang w:val="it-IT"/>
        </w:rPr>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0C2012">
        <w:rPr>
          <w:lang w:val="it-IT"/>
        </w:rPr>
        <w:t xml:space="preserve">PMID: 1180916. </w:t>
      </w:r>
    </w:p>
    <w:p w14:paraId="1987952F" w14:textId="730417C4" w:rsidR="00E0071D" w:rsidRDefault="00B164AD" w:rsidP="00E0071D">
      <w:pPr>
        <w:pStyle w:val="BUBibliography"/>
        <w:ind w:left="360" w:hanging="360"/>
      </w:pPr>
      <w:r>
        <w:rPr>
          <w:lang w:val="it-IT"/>
        </w:rPr>
        <w:t xml:space="preserve"> [</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E0071D" w:rsidRDefault="00E0071D" w:rsidP="002112A8">
      <w:r>
        <w:separator/>
      </w:r>
    </w:p>
    <w:p w14:paraId="6A4E7937" w14:textId="77777777" w:rsidR="00E0071D" w:rsidRDefault="00E0071D"/>
  </w:endnote>
  <w:endnote w:type="continuationSeparator" w:id="0">
    <w:p w14:paraId="2235EF91" w14:textId="77777777" w:rsidR="00E0071D" w:rsidRDefault="00E0071D" w:rsidP="002112A8">
      <w:r>
        <w:continuationSeparator/>
      </w:r>
    </w:p>
    <w:p w14:paraId="2256DE01" w14:textId="77777777" w:rsidR="00E0071D" w:rsidRDefault="00E007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E0071D" w:rsidRDefault="00E0071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E0071D" w:rsidRDefault="00E0071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E0071D" w:rsidRDefault="00E0071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E0071D" w:rsidRDefault="00E0071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E0071D" w:rsidRDefault="00E0071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E0071D" w:rsidRDefault="00E0071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E0071D" w:rsidRDefault="00E0071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E0071D" w:rsidRDefault="00E0071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E0071D" w:rsidRDefault="00E007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E0071D" w:rsidRPr="000A05E4" w:rsidRDefault="00E0071D"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C720E0">
      <w:rPr>
        <w:rStyle w:val="PageNumber"/>
        <w:rFonts w:ascii="Times New Roman" w:hAnsi="Times New Roman" w:cs="Times New Roman"/>
        <w:noProof/>
      </w:rPr>
      <w:t>xv</w:t>
    </w:r>
    <w:r w:rsidRPr="000A05E4">
      <w:rPr>
        <w:rStyle w:val="PageNumber"/>
        <w:rFonts w:ascii="Times New Roman" w:hAnsi="Times New Roman" w:cs="Times New Roman"/>
      </w:rPr>
      <w:fldChar w:fldCharType="end"/>
    </w:r>
  </w:p>
  <w:p w14:paraId="590ADF32" w14:textId="77777777" w:rsidR="00E0071D" w:rsidRDefault="00E0071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E0071D" w:rsidRDefault="00E0071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E0071D" w:rsidRDefault="00E0071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E0071D" w:rsidRDefault="00E0071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E0071D" w:rsidRDefault="00E0071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E0071D" w:rsidRDefault="00E0071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E0071D" w:rsidRDefault="00E0071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E0071D" w:rsidRDefault="00E00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E0071D" w:rsidRDefault="00E0071D" w:rsidP="002112A8">
      <w:r>
        <w:separator/>
      </w:r>
    </w:p>
    <w:p w14:paraId="0BAE4A37" w14:textId="77777777" w:rsidR="00E0071D" w:rsidRDefault="00E0071D"/>
  </w:footnote>
  <w:footnote w:type="continuationSeparator" w:id="0">
    <w:p w14:paraId="5CB5219E" w14:textId="77777777" w:rsidR="00E0071D" w:rsidRDefault="00E0071D" w:rsidP="002112A8">
      <w:r>
        <w:continuationSeparator/>
      </w:r>
    </w:p>
    <w:p w14:paraId="7AAB0141" w14:textId="77777777" w:rsidR="00E0071D" w:rsidRDefault="00E007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E0071D" w:rsidRDefault="00E0071D"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E0071D" w:rsidRDefault="00E0071D"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164AD">
      <w:rPr>
        <w:rStyle w:val="PageNumber"/>
        <w:rFonts w:ascii="Times New Roman" w:hAnsi="Times New Roman" w:cs="Times New Roman"/>
        <w:noProof/>
      </w:rPr>
      <w:t>151</w:t>
    </w:r>
    <w:r w:rsidRPr="000A05E4">
      <w:rPr>
        <w:rStyle w:val="PageNumber"/>
        <w:rFonts w:ascii="Times New Roman" w:hAnsi="Times New Roman" w:cs="Times New Roman"/>
      </w:rPr>
      <w:fldChar w:fldCharType="end"/>
    </w:r>
  </w:p>
  <w:p w14:paraId="644F14AC" w14:textId="77777777" w:rsidR="00E0071D" w:rsidRDefault="00E0071D"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E0071D" w:rsidRDefault="00E0071D"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164AD">
      <w:rPr>
        <w:rStyle w:val="PageNumber"/>
        <w:rFonts w:ascii="Times New Roman" w:hAnsi="Times New Roman" w:cs="Times New Roman"/>
        <w:noProof/>
      </w:rPr>
      <w:t>162</w:t>
    </w:r>
    <w:r w:rsidRPr="000A05E4">
      <w:rPr>
        <w:rStyle w:val="PageNumber"/>
        <w:rFonts w:ascii="Times New Roman" w:hAnsi="Times New Roman" w:cs="Times New Roman"/>
      </w:rPr>
      <w:fldChar w:fldCharType="end"/>
    </w:r>
  </w:p>
  <w:p w14:paraId="7F6156FD" w14:textId="77777777" w:rsidR="00E0071D" w:rsidRDefault="00E0071D"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E0071D" w:rsidRDefault="00E0071D"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164AD">
      <w:rPr>
        <w:rStyle w:val="PageNumber"/>
        <w:rFonts w:ascii="Times New Roman" w:hAnsi="Times New Roman" w:cs="Times New Roman"/>
        <w:noProof/>
      </w:rPr>
      <w:t>245</w:t>
    </w:r>
    <w:r w:rsidRPr="000A05E4">
      <w:rPr>
        <w:rStyle w:val="PageNumber"/>
        <w:rFonts w:ascii="Times New Roman" w:hAnsi="Times New Roman" w:cs="Times New Roman"/>
      </w:rPr>
      <w:fldChar w:fldCharType="end"/>
    </w:r>
  </w:p>
  <w:p w14:paraId="1BCBD2C9" w14:textId="77777777" w:rsidR="00E0071D" w:rsidRDefault="00E0071D"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E0071D" w:rsidRDefault="00E0071D"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E0071D" w:rsidRDefault="00E0071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C720E0">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E0071D" w:rsidRDefault="00E0071D"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E0071D" w:rsidRDefault="00E0071D"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C720E0">
      <w:rPr>
        <w:rStyle w:val="PageNumber"/>
        <w:rFonts w:ascii="Times New Roman" w:hAnsi="Times New Roman" w:cs="Times New Roman"/>
        <w:noProof/>
      </w:rPr>
      <w:t>57</w:t>
    </w:r>
    <w:r w:rsidRPr="000A05E4">
      <w:rPr>
        <w:rStyle w:val="PageNumber"/>
        <w:rFonts w:ascii="Times New Roman" w:hAnsi="Times New Roman" w:cs="Times New Roman"/>
      </w:rPr>
      <w:fldChar w:fldCharType="end"/>
    </w:r>
  </w:p>
  <w:p w14:paraId="1DD7A28A" w14:textId="77777777" w:rsidR="00E0071D" w:rsidRDefault="00E0071D"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E0071D" w:rsidRDefault="00E0071D"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164AD">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E0071D" w:rsidRDefault="00E0071D"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E0071D" w:rsidRDefault="00E0071D"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164AD">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E0071D" w:rsidRDefault="00E0071D"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TrackMoves/>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41D7"/>
    <w:rsid w:val="000F1003"/>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C2904"/>
    <w:rsid w:val="007D7A80"/>
    <w:rsid w:val="007E0DA4"/>
    <w:rsid w:val="007F2F02"/>
    <w:rsid w:val="0081269E"/>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22DD9"/>
    <w:rsid w:val="00B32665"/>
    <w:rsid w:val="00B33DD5"/>
    <w:rsid w:val="00B904AA"/>
    <w:rsid w:val="00BD2C24"/>
    <w:rsid w:val="00BD7A28"/>
    <w:rsid w:val="00BF4D8C"/>
    <w:rsid w:val="00C61E21"/>
    <w:rsid w:val="00C720E0"/>
    <w:rsid w:val="00C87F94"/>
    <w:rsid w:val="00D25209"/>
    <w:rsid w:val="00D541A7"/>
    <w:rsid w:val="00D56384"/>
    <w:rsid w:val="00D760CF"/>
    <w:rsid w:val="00DD7DE1"/>
    <w:rsid w:val="00DE6E79"/>
    <w:rsid w:val="00E0071D"/>
    <w:rsid w:val="00E0237B"/>
    <w:rsid w:val="00E111EF"/>
    <w:rsid w:val="00E33A14"/>
    <w:rsid w:val="00E35DF8"/>
    <w:rsid w:val="00E94E69"/>
    <w:rsid w:val="00EA4B26"/>
    <w:rsid w:val="00EA5BF6"/>
    <w:rsid w:val="00ED3F96"/>
    <w:rsid w:val="00F3373D"/>
    <w:rsid w:val="00F3504A"/>
    <w:rsid w:val="00F55E2B"/>
    <w:rsid w:val="00FB4F38"/>
    <w:rsid w:val="00FB5AF1"/>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header" Target="header13.xml"/><Relationship Id="rId63" Type="http://schemas.openxmlformats.org/officeDocument/2006/relationships/footer" Target="foot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footer" Target="footer12.xml"/><Relationship Id="rId57" Type="http://schemas.openxmlformats.org/officeDocument/2006/relationships/header" Target="header14.xml"/><Relationship Id="rId61" Type="http://schemas.openxmlformats.org/officeDocument/2006/relationships/footer" Target="footer15.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eader" Target="header1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2.xml"/><Relationship Id="rId56" Type="http://schemas.openxmlformats.org/officeDocument/2006/relationships/footer" Target="footer13.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EC079-2822-4642-867C-E53F76D0E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268</Pages>
  <Words>68711</Words>
  <Characters>391658</Characters>
  <Application>Microsoft Office Word</Application>
  <DocSecurity>0</DocSecurity>
  <Lines>3263</Lines>
  <Paragraphs>918</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29</cp:revision>
  <cp:lastPrinted>2015-07-05T00:33:00Z</cp:lastPrinted>
  <dcterms:created xsi:type="dcterms:W3CDTF">2013-11-05T17:06:00Z</dcterms:created>
  <dcterms:modified xsi:type="dcterms:W3CDTF">2015-07-14T14:27:00Z</dcterms:modified>
</cp:coreProperties>
</file>